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71AFC" w14:textId="044B8FF9" w:rsidR="00FC4FB7" w:rsidRPr="001743DB" w:rsidRDefault="001743DB" w:rsidP="00FC4FB7">
      <w:pPr>
        <w:spacing w:line="360" w:lineRule="auto"/>
        <w:rPr>
          <w:b/>
        </w:rPr>
      </w:pPr>
      <w:r>
        <w:rPr>
          <w:b/>
        </w:rPr>
        <w:t>ANÁLISIS DEL SISTEMA R</w:t>
      </w:r>
      <w:r w:rsidR="00092ED6">
        <w:rPr>
          <w:b/>
        </w:rPr>
        <w:t>ADICAL</w:t>
      </w:r>
    </w:p>
    <w:p w14:paraId="7069CA86" w14:textId="77777777" w:rsidR="00000000" w:rsidRDefault="007D7775" w:rsidP="007C2E7B">
      <w:pPr>
        <w:pStyle w:val="Prrafodelista"/>
        <w:numPr>
          <w:ilvl w:val="0"/>
          <w:numId w:val="1"/>
        </w:numPr>
        <w:spacing w:line="360" w:lineRule="auto"/>
      </w:pPr>
      <w:r>
        <w:t>Preparación de semilleros</w:t>
      </w:r>
    </w:p>
    <w:p w14:paraId="258B6833" w14:textId="2BED250D" w:rsidR="007D7775" w:rsidRDefault="007D7775" w:rsidP="001743DB">
      <w:pPr>
        <w:spacing w:line="360" w:lineRule="auto"/>
        <w:jc w:val="both"/>
      </w:pPr>
      <w:r>
        <w:t>Las semillas se germinarán en placas Petri con algodón y papel de filtro. Se dejarán 48 horas en estufa a 37º C en oscuridad</w:t>
      </w:r>
      <w:r w:rsidR="00C171BC">
        <w:t xml:space="preserve"> (Figura 1)</w:t>
      </w:r>
      <w:r>
        <w:t xml:space="preserve">. </w:t>
      </w:r>
    </w:p>
    <w:p w14:paraId="70292732" w14:textId="2B533D80" w:rsidR="00A27F21" w:rsidRDefault="00A27F21" w:rsidP="007C2E7B">
      <w:pPr>
        <w:spacing w:line="360" w:lineRule="auto"/>
        <w:jc w:val="center"/>
      </w:pPr>
      <w:r w:rsidRPr="00A27F21">
        <w:rPr>
          <w:noProof/>
          <w:lang w:eastAsia="es-ES"/>
        </w:rPr>
        <w:drawing>
          <wp:inline distT="0" distB="0" distL="0" distR="0" wp14:anchorId="5156CF61" wp14:editId="0A5EA285">
            <wp:extent cx="2213138" cy="2019225"/>
            <wp:effectExtent l="0" t="0" r="0" b="63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cstate="print">
                      <a:extLst>
                        <a:ext uri="{28A0092B-C50C-407E-A947-70E740481C1C}">
                          <a14:useLocalDpi xmlns:a14="http://schemas.microsoft.com/office/drawing/2010/main" val="0"/>
                        </a:ext>
                      </a:extLst>
                    </a:blip>
                    <a:srcRect l="18879" t="25697" r="33394" b="16242"/>
                    <a:stretch/>
                  </pic:blipFill>
                  <pic:spPr>
                    <a:xfrm>
                      <a:off x="0" y="0"/>
                      <a:ext cx="2226041" cy="2030997"/>
                    </a:xfrm>
                    <a:prstGeom prst="rect">
                      <a:avLst/>
                    </a:prstGeom>
                  </pic:spPr>
                </pic:pic>
              </a:graphicData>
            </a:graphic>
          </wp:inline>
        </w:drawing>
      </w:r>
    </w:p>
    <w:p w14:paraId="336B1086" w14:textId="650A1B4B" w:rsidR="00C171BC" w:rsidRPr="00C171BC" w:rsidRDefault="00C171BC" w:rsidP="007C2E7B">
      <w:pPr>
        <w:spacing w:line="360" w:lineRule="auto"/>
        <w:jc w:val="center"/>
        <w:rPr>
          <w:i/>
          <w:sz w:val="20"/>
          <w:szCs w:val="20"/>
        </w:rPr>
      </w:pPr>
      <w:r w:rsidRPr="00C171BC">
        <w:rPr>
          <w:i/>
          <w:sz w:val="20"/>
          <w:szCs w:val="20"/>
        </w:rPr>
        <w:t>Figura 1: germinación de semillas en placa Petri</w:t>
      </w:r>
    </w:p>
    <w:p w14:paraId="75D18B9E" w14:textId="77777777" w:rsidR="007D7775" w:rsidRDefault="007D7775" w:rsidP="007C2E7B">
      <w:pPr>
        <w:pStyle w:val="Prrafodelista"/>
        <w:numPr>
          <w:ilvl w:val="0"/>
          <w:numId w:val="1"/>
        </w:numPr>
        <w:spacing w:line="360" w:lineRule="auto"/>
      </w:pPr>
      <w:r>
        <w:t>Preparación de sustrato</w:t>
      </w:r>
    </w:p>
    <w:p w14:paraId="02E62051" w14:textId="211D713B" w:rsidR="007D7775" w:rsidRDefault="007D7775" w:rsidP="001743DB">
      <w:pPr>
        <w:spacing w:line="360" w:lineRule="auto"/>
        <w:jc w:val="both"/>
      </w:pPr>
      <w:r>
        <w:t>Las macetas em</w:t>
      </w:r>
      <w:r w:rsidR="00E337F2">
        <w:t>pleadas tendrán un tamaño de 9x9x8</w:t>
      </w:r>
      <w:r>
        <w:t xml:space="preserve"> cm. Se utilizará vermiculita ya que favorece la extracción de raíces</w:t>
      </w:r>
      <w:r w:rsidR="00C171BC">
        <w:t xml:space="preserve"> (Figura 2)</w:t>
      </w:r>
      <w:r>
        <w:t>. Al tratarse de un sustrato inerte se aplicará abono en el riego</w:t>
      </w:r>
      <w:r w:rsidR="00C171BC">
        <w:t xml:space="preserve"> (Tabla 1)</w:t>
      </w:r>
      <w:r>
        <w:t>.</w:t>
      </w:r>
      <w:r w:rsidRPr="007D7775">
        <w:t xml:space="preserve"> </w:t>
      </w:r>
      <w:r>
        <w:t>Las plantas se mantendrán en cámara de crecimiento 30 días.</w:t>
      </w:r>
    </w:p>
    <w:p w14:paraId="517276E7" w14:textId="43B339BE" w:rsidR="00A27F21" w:rsidRDefault="00A27F21" w:rsidP="007C2E7B">
      <w:pPr>
        <w:spacing w:line="360" w:lineRule="auto"/>
        <w:jc w:val="center"/>
      </w:pPr>
      <w:r w:rsidRPr="00A27F21">
        <w:rPr>
          <w:noProof/>
          <w:lang w:eastAsia="es-ES"/>
        </w:rPr>
        <w:drawing>
          <wp:inline distT="0" distB="0" distL="0" distR="0" wp14:anchorId="6B8D7978" wp14:editId="2D79D06E">
            <wp:extent cx="2238375" cy="24418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9" cstate="print">
                      <a:extLst>
                        <a:ext uri="{28A0092B-C50C-407E-A947-70E740481C1C}">
                          <a14:useLocalDpi xmlns:a14="http://schemas.microsoft.com/office/drawing/2010/main" val="0"/>
                        </a:ext>
                      </a:extLst>
                    </a:blip>
                    <a:srcRect t="31395" b="19515"/>
                    <a:stretch/>
                  </pic:blipFill>
                  <pic:spPr>
                    <a:xfrm>
                      <a:off x="0" y="0"/>
                      <a:ext cx="2243332" cy="2447272"/>
                    </a:xfrm>
                    <a:prstGeom prst="rect">
                      <a:avLst/>
                    </a:prstGeom>
                  </pic:spPr>
                </pic:pic>
              </a:graphicData>
            </a:graphic>
          </wp:inline>
        </w:drawing>
      </w:r>
    </w:p>
    <w:p w14:paraId="4DBAF594" w14:textId="363046F6" w:rsidR="00C171BC" w:rsidRDefault="00C171BC" w:rsidP="007C2E7B">
      <w:pPr>
        <w:spacing w:line="360" w:lineRule="auto"/>
        <w:jc w:val="center"/>
        <w:rPr>
          <w:i/>
          <w:sz w:val="20"/>
          <w:szCs w:val="20"/>
        </w:rPr>
      </w:pPr>
      <w:r w:rsidRPr="00C171BC">
        <w:rPr>
          <w:i/>
          <w:sz w:val="20"/>
          <w:szCs w:val="20"/>
        </w:rPr>
        <w:t>Figura 2: plantas con 7 días en vermiculita</w:t>
      </w:r>
    </w:p>
    <w:p w14:paraId="751F110C" w14:textId="77777777" w:rsidR="00C171BC" w:rsidRDefault="00C171BC">
      <w:pPr>
        <w:rPr>
          <w:i/>
          <w:sz w:val="20"/>
          <w:szCs w:val="20"/>
        </w:rPr>
      </w:pPr>
      <w:r>
        <w:rPr>
          <w:i/>
          <w:sz w:val="20"/>
          <w:szCs w:val="20"/>
        </w:rPr>
        <w:br w:type="page"/>
      </w:r>
    </w:p>
    <w:p w14:paraId="0587FF99" w14:textId="51262109" w:rsidR="00C171BC" w:rsidRDefault="00C171BC" w:rsidP="007C2E7B">
      <w:pPr>
        <w:spacing w:line="360" w:lineRule="auto"/>
        <w:jc w:val="center"/>
        <w:rPr>
          <w:i/>
          <w:sz w:val="20"/>
          <w:szCs w:val="20"/>
        </w:rPr>
      </w:pPr>
      <w:r>
        <w:rPr>
          <w:i/>
          <w:sz w:val="20"/>
          <w:szCs w:val="20"/>
        </w:rPr>
        <w:lastRenderedPageBreak/>
        <w:t>Tabla 1: composición abono</w:t>
      </w:r>
    </w:p>
    <w:tbl>
      <w:tblPr>
        <w:tblW w:w="4720" w:type="dxa"/>
        <w:jc w:val="center"/>
        <w:tblCellMar>
          <w:left w:w="70" w:type="dxa"/>
          <w:right w:w="70" w:type="dxa"/>
        </w:tblCellMar>
        <w:tblLook w:val="04A0" w:firstRow="1" w:lastRow="0" w:firstColumn="1" w:lastColumn="0" w:noHBand="0" w:noVBand="1"/>
      </w:tblPr>
      <w:tblGrid>
        <w:gridCol w:w="3380"/>
        <w:gridCol w:w="1340"/>
      </w:tblGrid>
      <w:tr w:rsidR="00C171BC" w:rsidRPr="00C171BC" w14:paraId="5857EF17" w14:textId="77777777" w:rsidTr="00C171BC">
        <w:trPr>
          <w:trHeight w:val="300"/>
          <w:jc w:val="center"/>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31171"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0F0FE49"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gramos/litro</w:t>
            </w:r>
          </w:p>
        </w:tc>
      </w:tr>
      <w:tr w:rsidR="00C171BC" w:rsidRPr="00C171BC" w14:paraId="7026535E"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407C2484"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QUELATO DE HIERRO</w:t>
            </w:r>
          </w:p>
        </w:tc>
        <w:tc>
          <w:tcPr>
            <w:tcW w:w="1340" w:type="dxa"/>
            <w:tcBorders>
              <w:top w:val="nil"/>
              <w:left w:val="nil"/>
              <w:bottom w:val="single" w:sz="4" w:space="0" w:color="auto"/>
              <w:right w:val="single" w:sz="4" w:space="0" w:color="auto"/>
            </w:tcBorders>
            <w:shd w:val="clear" w:color="auto" w:fill="auto"/>
            <w:noWrap/>
            <w:vAlign w:val="bottom"/>
            <w:hideMark/>
          </w:tcPr>
          <w:p w14:paraId="7591A9A7" w14:textId="0EAAEF1F" w:rsidR="00C171BC" w:rsidRPr="00C171BC" w:rsidRDefault="00C171BC" w:rsidP="00C171B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11,63</w:t>
            </w:r>
          </w:p>
        </w:tc>
      </w:tr>
      <w:tr w:rsidR="00C171BC" w:rsidRPr="00C171BC" w14:paraId="3188FC86"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095925FA"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NITRATO CÁLCICO</w:t>
            </w:r>
          </w:p>
        </w:tc>
        <w:tc>
          <w:tcPr>
            <w:tcW w:w="1340" w:type="dxa"/>
            <w:tcBorders>
              <w:top w:val="nil"/>
              <w:left w:val="nil"/>
              <w:bottom w:val="single" w:sz="4" w:space="0" w:color="auto"/>
              <w:right w:val="single" w:sz="4" w:space="0" w:color="auto"/>
            </w:tcBorders>
            <w:shd w:val="clear" w:color="auto" w:fill="auto"/>
            <w:noWrap/>
            <w:vAlign w:val="bottom"/>
            <w:hideMark/>
          </w:tcPr>
          <w:p w14:paraId="3C129FCB"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295</w:t>
            </w:r>
          </w:p>
        </w:tc>
      </w:tr>
      <w:tr w:rsidR="00C171BC" w:rsidRPr="00C171BC" w14:paraId="653325E2"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6F4C68FC"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NITRATO POTÁSICO</w:t>
            </w:r>
          </w:p>
        </w:tc>
        <w:tc>
          <w:tcPr>
            <w:tcW w:w="1340" w:type="dxa"/>
            <w:tcBorders>
              <w:top w:val="nil"/>
              <w:left w:val="nil"/>
              <w:bottom w:val="single" w:sz="4" w:space="0" w:color="auto"/>
              <w:right w:val="single" w:sz="4" w:space="0" w:color="auto"/>
            </w:tcBorders>
            <w:shd w:val="clear" w:color="auto" w:fill="auto"/>
            <w:noWrap/>
            <w:vAlign w:val="bottom"/>
            <w:hideMark/>
          </w:tcPr>
          <w:p w14:paraId="61647040"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127</w:t>
            </w:r>
          </w:p>
        </w:tc>
      </w:tr>
      <w:tr w:rsidR="00C171BC" w:rsidRPr="00C171BC" w14:paraId="6F0FE619"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764138BF"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SULFATO MAGNÉSICO</w:t>
            </w:r>
          </w:p>
        </w:tc>
        <w:tc>
          <w:tcPr>
            <w:tcW w:w="1340" w:type="dxa"/>
            <w:tcBorders>
              <w:top w:val="nil"/>
              <w:left w:val="nil"/>
              <w:bottom w:val="single" w:sz="4" w:space="0" w:color="auto"/>
              <w:right w:val="single" w:sz="4" w:space="0" w:color="auto"/>
            </w:tcBorders>
            <w:shd w:val="clear" w:color="auto" w:fill="auto"/>
            <w:noWrap/>
            <w:vAlign w:val="bottom"/>
            <w:hideMark/>
          </w:tcPr>
          <w:p w14:paraId="3F2AFBEF"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122,5</w:t>
            </w:r>
          </w:p>
        </w:tc>
      </w:tr>
      <w:tr w:rsidR="00C171BC" w:rsidRPr="00C171BC" w14:paraId="66234D94"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4FFB4AF6"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FOSFATO POTÁSICO</w:t>
            </w:r>
          </w:p>
        </w:tc>
        <w:tc>
          <w:tcPr>
            <w:tcW w:w="1340" w:type="dxa"/>
            <w:tcBorders>
              <w:top w:val="nil"/>
              <w:left w:val="nil"/>
              <w:bottom w:val="single" w:sz="4" w:space="0" w:color="auto"/>
              <w:right w:val="single" w:sz="4" w:space="0" w:color="auto"/>
            </w:tcBorders>
            <w:shd w:val="clear" w:color="auto" w:fill="auto"/>
            <w:noWrap/>
            <w:vAlign w:val="bottom"/>
            <w:hideMark/>
          </w:tcPr>
          <w:p w14:paraId="76779F33"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34</w:t>
            </w:r>
          </w:p>
        </w:tc>
      </w:tr>
      <w:tr w:rsidR="00C171BC" w:rsidRPr="00C171BC" w14:paraId="1E8CD76C"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73640FE3"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SULFATO DE ZINC</w:t>
            </w:r>
          </w:p>
        </w:tc>
        <w:tc>
          <w:tcPr>
            <w:tcW w:w="1340" w:type="dxa"/>
            <w:tcBorders>
              <w:top w:val="nil"/>
              <w:left w:val="nil"/>
              <w:bottom w:val="single" w:sz="4" w:space="0" w:color="auto"/>
              <w:right w:val="single" w:sz="4" w:space="0" w:color="auto"/>
            </w:tcBorders>
            <w:shd w:val="clear" w:color="auto" w:fill="auto"/>
            <w:noWrap/>
            <w:vAlign w:val="bottom"/>
            <w:hideMark/>
          </w:tcPr>
          <w:p w14:paraId="60C27199"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5,7</w:t>
            </w:r>
          </w:p>
        </w:tc>
      </w:tr>
      <w:tr w:rsidR="00C171BC" w:rsidRPr="00C171BC" w14:paraId="1DD249D3"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1C30FFBC"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SULFATO DE MAGNESIO</w:t>
            </w:r>
          </w:p>
        </w:tc>
        <w:tc>
          <w:tcPr>
            <w:tcW w:w="1340" w:type="dxa"/>
            <w:tcBorders>
              <w:top w:val="nil"/>
              <w:left w:val="nil"/>
              <w:bottom w:val="single" w:sz="4" w:space="0" w:color="auto"/>
              <w:right w:val="single" w:sz="4" w:space="0" w:color="auto"/>
            </w:tcBorders>
            <w:shd w:val="clear" w:color="auto" w:fill="auto"/>
            <w:noWrap/>
            <w:vAlign w:val="bottom"/>
            <w:hideMark/>
          </w:tcPr>
          <w:p w14:paraId="1ECF9D4D"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16,9</w:t>
            </w:r>
          </w:p>
        </w:tc>
      </w:tr>
      <w:tr w:rsidR="00C171BC" w:rsidRPr="00C171BC" w14:paraId="3B858CF9"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2766D5A2"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SULFATO DE COBRE</w:t>
            </w:r>
          </w:p>
        </w:tc>
        <w:tc>
          <w:tcPr>
            <w:tcW w:w="1340" w:type="dxa"/>
            <w:tcBorders>
              <w:top w:val="nil"/>
              <w:left w:val="nil"/>
              <w:bottom w:val="single" w:sz="4" w:space="0" w:color="auto"/>
              <w:right w:val="single" w:sz="4" w:space="0" w:color="auto"/>
            </w:tcBorders>
            <w:shd w:val="clear" w:color="auto" w:fill="auto"/>
            <w:noWrap/>
            <w:vAlign w:val="bottom"/>
            <w:hideMark/>
          </w:tcPr>
          <w:p w14:paraId="2F1E613F"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1,3</w:t>
            </w:r>
          </w:p>
        </w:tc>
      </w:tr>
      <w:tr w:rsidR="00C171BC" w:rsidRPr="00C171BC" w14:paraId="4EFE206D"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0D7DF331"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ÁCIDO BÓRICO</w:t>
            </w:r>
          </w:p>
        </w:tc>
        <w:tc>
          <w:tcPr>
            <w:tcW w:w="1340" w:type="dxa"/>
            <w:tcBorders>
              <w:top w:val="nil"/>
              <w:left w:val="nil"/>
              <w:bottom w:val="single" w:sz="4" w:space="0" w:color="auto"/>
              <w:right w:val="single" w:sz="4" w:space="0" w:color="auto"/>
            </w:tcBorders>
            <w:shd w:val="clear" w:color="auto" w:fill="auto"/>
            <w:noWrap/>
            <w:vAlign w:val="bottom"/>
            <w:hideMark/>
          </w:tcPr>
          <w:p w14:paraId="33E76443"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19</w:t>
            </w:r>
          </w:p>
        </w:tc>
      </w:tr>
      <w:tr w:rsidR="00C171BC" w:rsidRPr="00C171BC" w14:paraId="5D72F438" w14:textId="77777777" w:rsidTr="00C171BC">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062ED762"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MOLIBDATO AMÓNICO</w:t>
            </w:r>
          </w:p>
        </w:tc>
        <w:tc>
          <w:tcPr>
            <w:tcW w:w="1340" w:type="dxa"/>
            <w:tcBorders>
              <w:top w:val="nil"/>
              <w:left w:val="nil"/>
              <w:bottom w:val="single" w:sz="4" w:space="0" w:color="auto"/>
              <w:right w:val="single" w:sz="4" w:space="0" w:color="auto"/>
            </w:tcBorders>
            <w:shd w:val="clear" w:color="auto" w:fill="auto"/>
            <w:noWrap/>
            <w:vAlign w:val="bottom"/>
            <w:hideMark/>
          </w:tcPr>
          <w:p w14:paraId="4E097FA6" w14:textId="77777777" w:rsidR="00C171BC" w:rsidRPr="00C171BC" w:rsidRDefault="00C171BC" w:rsidP="00C171BC">
            <w:pPr>
              <w:spacing w:after="0" w:line="240" w:lineRule="auto"/>
              <w:jc w:val="center"/>
              <w:rPr>
                <w:rFonts w:ascii="Calibri" w:eastAsia="Times New Roman" w:hAnsi="Calibri" w:cs="Calibri"/>
                <w:color w:val="000000"/>
                <w:lang w:eastAsia="es-ES"/>
              </w:rPr>
            </w:pPr>
            <w:r w:rsidRPr="00C171BC">
              <w:rPr>
                <w:rFonts w:ascii="Calibri" w:eastAsia="Times New Roman" w:hAnsi="Calibri" w:cs="Calibri"/>
                <w:color w:val="000000"/>
                <w:lang w:eastAsia="es-ES"/>
              </w:rPr>
              <w:t>0,88</w:t>
            </w:r>
          </w:p>
        </w:tc>
      </w:tr>
    </w:tbl>
    <w:p w14:paraId="4E7A7960" w14:textId="77777777" w:rsidR="00C171BC" w:rsidRPr="00C171BC" w:rsidRDefault="00C171BC" w:rsidP="007C2E7B">
      <w:pPr>
        <w:spacing w:line="360" w:lineRule="auto"/>
        <w:jc w:val="center"/>
        <w:rPr>
          <w:i/>
          <w:sz w:val="20"/>
          <w:szCs w:val="20"/>
        </w:rPr>
      </w:pPr>
    </w:p>
    <w:p w14:paraId="2F484D98" w14:textId="77777777" w:rsidR="007D7775" w:rsidRDefault="007D7775" w:rsidP="001743DB">
      <w:pPr>
        <w:pStyle w:val="Prrafodelista"/>
        <w:numPr>
          <w:ilvl w:val="0"/>
          <w:numId w:val="1"/>
        </w:numPr>
        <w:spacing w:line="360" w:lineRule="auto"/>
        <w:jc w:val="both"/>
      </w:pPr>
      <w:r>
        <w:t>Extracción de raíces</w:t>
      </w:r>
    </w:p>
    <w:p w14:paraId="03D58A40" w14:textId="77777777" w:rsidR="007D7775" w:rsidRDefault="007D7775" w:rsidP="001743DB">
      <w:pPr>
        <w:spacing w:line="360" w:lineRule="auto"/>
        <w:jc w:val="both"/>
      </w:pPr>
      <w:r>
        <w:t>Para cada una de las plantas se procederá de la siguiente manera:</w:t>
      </w:r>
    </w:p>
    <w:p w14:paraId="32257E69" w14:textId="77777777" w:rsidR="007D7775" w:rsidRDefault="007D7775" w:rsidP="001743DB">
      <w:pPr>
        <w:pStyle w:val="Prrafodelista"/>
        <w:numPr>
          <w:ilvl w:val="0"/>
          <w:numId w:val="2"/>
        </w:numPr>
        <w:spacing w:line="360" w:lineRule="auto"/>
        <w:jc w:val="both"/>
      </w:pPr>
      <w:r>
        <w:t>Limpieza de raíz</w:t>
      </w:r>
    </w:p>
    <w:p w14:paraId="636F4EB8" w14:textId="77777777" w:rsidR="007D7775" w:rsidRDefault="00AC71FE" w:rsidP="001743DB">
      <w:pPr>
        <w:pStyle w:val="Prrafodelista"/>
        <w:numPr>
          <w:ilvl w:val="0"/>
          <w:numId w:val="2"/>
        </w:numPr>
        <w:spacing w:line="360" w:lineRule="auto"/>
        <w:jc w:val="both"/>
      </w:pPr>
      <w:r>
        <w:t>Anotación de l</w:t>
      </w:r>
      <w:r w:rsidR="007D7775">
        <w:t>ongitud de la parte aérea, longitud de raíz y peso de la raíz.</w:t>
      </w:r>
    </w:p>
    <w:p w14:paraId="402BDB1C" w14:textId="77777777" w:rsidR="007D7775" w:rsidRDefault="007D7775" w:rsidP="001743DB">
      <w:pPr>
        <w:pStyle w:val="Prrafodelista"/>
        <w:numPr>
          <w:ilvl w:val="0"/>
          <w:numId w:val="2"/>
        </w:numPr>
        <w:spacing w:line="360" w:lineRule="auto"/>
        <w:jc w:val="both"/>
      </w:pPr>
      <w:r>
        <w:t>En el caso de inocular las plantas con patógenos fúngicos se evaluarán los daños del cuello de la raíz y del sistema radicular con una escala de 0 a 4.</w:t>
      </w:r>
      <w:r w:rsidR="00224985">
        <w:t xml:space="preserve"> 0= no hay síntomas; 1=&lt; 10% de daños; 2= 25% de daños; 3= &gt;50% de daños; 4=planta muerta</w:t>
      </w:r>
    </w:p>
    <w:p w14:paraId="6D819B15" w14:textId="21635733" w:rsidR="00224985" w:rsidRDefault="00224985" w:rsidP="001743DB">
      <w:pPr>
        <w:pStyle w:val="Prrafodelista"/>
        <w:numPr>
          <w:ilvl w:val="0"/>
          <w:numId w:val="2"/>
        </w:numPr>
        <w:spacing w:line="360" w:lineRule="auto"/>
        <w:jc w:val="both"/>
      </w:pPr>
      <w:r>
        <w:t>Preparación de raíz en papel acetato</w:t>
      </w:r>
      <w:r w:rsidR="00C171BC">
        <w:t xml:space="preserve"> (Figura 3).</w:t>
      </w:r>
    </w:p>
    <w:p w14:paraId="202773A2" w14:textId="77777777" w:rsidR="00224985" w:rsidRDefault="00224985" w:rsidP="001743DB">
      <w:pPr>
        <w:pStyle w:val="Prrafodelista"/>
        <w:numPr>
          <w:ilvl w:val="0"/>
          <w:numId w:val="2"/>
        </w:numPr>
        <w:spacing w:line="360" w:lineRule="auto"/>
        <w:jc w:val="both"/>
      </w:pPr>
      <w:r>
        <w:t>Escaneo de raíz.</w:t>
      </w:r>
    </w:p>
    <w:p w14:paraId="248BE332" w14:textId="1825963D" w:rsidR="00A27F21" w:rsidRDefault="00A27F21" w:rsidP="007C2E7B">
      <w:pPr>
        <w:spacing w:line="360" w:lineRule="auto"/>
        <w:jc w:val="center"/>
      </w:pPr>
      <w:r w:rsidRPr="00A27F21">
        <w:rPr>
          <w:noProof/>
          <w:lang w:eastAsia="es-ES"/>
        </w:rPr>
        <w:drawing>
          <wp:inline distT="0" distB="0" distL="0" distR="0" wp14:anchorId="353DCBBA" wp14:editId="684B2A86">
            <wp:extent cx="1747756" cy="2867025"/>
            <wp:effectExtent l="0" t="0" r="508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cstate="print">
                      <a:extLst>
                        <a:ext uri="{28A0092B-C50C-407E-A947-70E740481C1C}">
                          <a14:useLocalDpi xmlns:a14="http://schemas.microsoft.com/office/drawing/2010/main" val="0"/>
                        </a:ext>
                      </a:extLst>
                    </a:blip>
                    <a:srcRect t="7758" b="18424"/>
                    <a:stretch/>
                  </pic:blipFill>
                  <pic:spPr>
                    <a:xfrm>
                      <a:off x="0" y="0"/>
                      <a:ext cx="1756440" cy="2881271"/>
                    </a:xfrm>
                    <a:prstGeom prst="rect">
                      <a:avLst/>
                    </a:prstGeom>
                  </pic:spPr>
                </pic:pic>
              </a:graphicData>
            </a:graphic>
          </wp:inline>
        </w:drawing>
      </w:r>
    </w:p>
    <w:p w14:paraId="6BC14668" w14:textId="7139D671" w:rsidR="00C171BC" w:rsidRPr="00C171BC" w:rsidRDefault="00C171BC" w:rsidP="007C2E7B">
      <w:pPr>
        <w:spacing w:line="360" w:lineRule="auto"/>
        <w:jc w:val="center"/>
        <w:rPr>
          <w:i/>
          <w:sz w:val="20"/>
          <w:szCs w:val="20"/>
        </w:rPr>
      </w:pPr>
      <w:r w:rsidRPr="00C171BC">
        <w:rPr>
          <w:i/>
          <w:sz w:val="20"/>
          <w:szCs w:val="20"/>
        </w:rPr>
        <w:t>Figura 3: extensión de raíz en papel de acetato</w:t>
      </w:r>
    </w:p>
    <w:p w14:paraId="2597CABC" w14:textId="77777777" w:rsidR="00A27F21" w:rsidRDefault="00A27F21" w:rsidP="007C2E7B">
      <w:pPr>
        <w:spacing w:line="360" w:lineRule="auto"/>
      </w:pPr>
    </w:p>
    <w:p w14:paraId="4B495268" w14:textId="77777777" w:rsidR="00224985" w:rsidRDefault="00224985" w:rsidP="007C2E7B">
      <w:pPr>
        <w:pStyle w:val="Prrafodelista"/>
        <w:numPr>
          <w:ilvl w:val="0"/>
          <w:numId w:val="1"/>
        </w:numPr>
        <w:spacing w:line="360" w:lineRule="auto"/>
      </w:pPr>
      <w:r>
        <w:t xml:space="preserve">Análisis de raíces con software </w:t>
      </w:r>
      <w:proofErr w:type="spellStart"/>
      <w:r>
        <w:t>WinRhizo</w:t>
      </w:r>
      <w:proofErr w:type="spellEnd"/>
      <w:r>
        <w:t xml:space="preserve">. </w:t>
      </w:r>
    </w:p>
    <w:p w14:paraId="56EB3DE4" w14:textId="77777777" w:rsidR="00224985" w:rsidRDefault="00224985" w:rsidP="007C2E7B">
      <w:pPr>
        <w:spacing w:line="360" w:lineRule="auto"/>
        <w:jc w:val="both"/>
      </w:pPr>
      <w:proofErr w:type="spellStart"/>
      <w:r>
        <w:t>Winrhizo</w:t>
      </w:r>
      <w:proofErr w:type="spellEnd"/>
      <w:r>
        <w:t xml:space="preserve"> es un programa de análisis de imágenes diseñado para analizar sistemas radiculares de plantas.  El producto final es un fichero con información cuantitativa sobre diferentes parámetros relacionados con el sistema radicular.  El análisis de raíces puede realizarse para estudiar la estructura y morfología radicular, el porcentaje de raíz dañada por patógenos de suelo o para ambas. Dependiendo del análisis que se requiera el procedimiento será distinto.</w:t>
      </w:r>
    </w:p>
    <w:p w14:paraId="19B23311" w14:textId="77777777" w:rsidR="00224985" w:rsidRPr="006379A7" w:rsidRDefault="00224985" w:rsidP="007C2E7B">
      <w:pPr>
        <w:spacing w:line="360" w:lineRule="auto"/>
        <w:jc w:val="both"/>
        <w:rPr>
          <w:i/>
          <w:iCs/>
        </w:rPr>
      </w:pPr>
      <w:r>
        <w:rPr>
          <w:i/>
          <w:iCs/>
        </w:rPr>
        <w:t>Estructura y morfología radicular</w:t>
      </w:r>
    </w:p>
    <w:p w14:paraId="645DC17B" w14:textId="1BD40A49" w:rsidR="00224985" w:rsidRDefault="00224985" w:rsidP="007C2E7B">
      <w:pPr>
        <w:spacing w:line="360" w:lineRule="auto"/>
        <w:jc w:val="both"/>
      </w:pPr>
      <w:r>
        <w:t>Si únicamente queremos observar la estructura y morfología radicular servirá con escanear las raíces en blanco y negro. Esto facilitará el análisis porque el contraste entre blanco (fondo) y negro (raíz) ayudará a que el an</w:t>
      </w:r>
      <w:r w:rsidR="00C171BC">
        <w:t>álisis sea más preciso (Figura 4</w:t>
      </w:r>
      <w:r>
        <w:t xml:space="preserve">). </w:t>
      </w:r>
    </w:p>
    <w:p w14:paraId="7BD46F43" w14:textId="77777777" w:rsidR="00224985" w:rsidRDefault="00224985" w:rsidP="007C2E7B">
      <w:pPr>
        <w:spacing w:line="360" w:lineRule="auto"/>
        <w:jc w:val="center"/>
        <w:rPr>
          <w:i/>
          <w:sz w:val="20"/>
          <w:szCs w:val="20"/>
        </w:rPr>
      </w:pPr>
      <w:r w:rsidRPr="00616B26">
        <w:rPr>
          <w:noProof/>
          <w:lang w:eastAsia="es-ES"/>
        </w:rPr>
        <w:drawing>
          <wp:inline distT="0" distB="0" distL="0" distR="0" wp14:anchorId="635161E1" wp14:editId="4424DA0B">
            <wp:extent cx="2714625" cy="3566891"/>
            <wp:effectExtent l="0" t="0" r="0" b="0"/>
            <wp:docPr id="12" name="Imagen 3">
              <a:extLst xmlns:a="http://schemas.openxmlformats.org/drawingml/2006/main">
                <a:ext uri="{FF2B5EF4-FFF2-40B4-BE49-F238E27FC236}">
                  <a16:creationId xmlns:a16="http://schemas.microsoft.com/office/drawing/2014/main" id="{3DD4EF5B-C9D0-4875-9016-4B11EFA63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DD4EF5B-C9D0-4875-9016-4B11EFA63A20}"/>
                        </a:ext>
                      </a:extLst>
                    </pic:cNvPr>
                    <pic:cNvPicPr>
                      <a:picLocks noChangeAspect="1"/>
                    </pic:cNvPicPr>
                  </pic:nvPicPr>
                  <pic:blipFill rotWithShape="1">
                    <a:blip r:embed="rId11"/>
                    <a:srcRect l="42242" t="25427" r="42931" b="28391"/>
                    <a:stretch/>
                  </pic:blipFill>
                  <pic:spPr>
                    <a:xfrm>
                      <a:off x="0" y="0"/>
                      <a:ext cx="2717546" cy="3570729"/>
                    </a:xfrm>
                    <a:prstGeom prst="rect">
                      <a:avLst/>
                    </a:prstGeom>
                  </pic:spPr>
                </pic:pic>
              </a:graphicData>
            </a:graphic>
          </wp:inline>
        </w:drawing>
      </w:r>
      <w:r w:rsidRPr="00224985">
        <w:rPr>
          <w:i/>
          <w:sz w:val="20"/>
          <w:szCs w:val="20"/>
        </w:rPr>
        <w:t xml:space="preserve"> </w:t>
      </w:r>
    </w:p>
    <w:p w14:paraId="1FBD468B" w14:textId="56004635" w:rsidR="00224985" w:rsidRDefault="00C171BC" w:rsidP="007C2E7B">
      <w:pPr>
        <w:spacing w:line="360" w:lineRule="auto"/>
        <w:jc w:val="center"/>
        <w:rPr>
          <w:i/>
          <w:sz w:val="20"/>
          <w:szCs w:val="20"/>
        </w:rPr>
      </w:pPr>
      <w:r>
        <w:rPr>
          <w:i/>
          <w:sz w:val="20"/>
          <w:szCs w:val="20"/>
        </w:rPr>
        <w:t>Figura 4</w:t>
      </w:r>
      <w:r w:rsidR="00224985" w:rsidRPr="00616B26">
        <w:rPr>
          <w:i/>
          <w:sz w:val="20"/>
          <w:szCs w:val="20"/>
        </w:rPr>
        <w:t>: Selección de tipo de escaneado y análisis, blanco y negro o en color.</w:t>
      </w:r>
    </w:p>
    <w:p w14:paraId="3B47F6DF" w14:textId="040856F4" w:rsidR="00224985" w:rsidRDefault="00224985" w:rsidP="007C2E7B">
      <w:pPr>
        <w:spacing w:line="360" w:lineRule="auto"/>
        <w:jc w:val="both"/>
      </w:pPr>
      <w:r>
        <w:t xml:space="preserve">Los parámetros más habituales que te proporciona </w:t>
      </w:r>
      <w:proofErr w:type="spellStart"/>
      <w:r>
        <w:t>Win</w:t>
      </w:r>
      <w:r w:rsidR="00C171BC">
        <w:t>R</w:t>
      </w:r>
      <w:r>
        <w:t>hizo</w:t>
      </w:r>
      <w:proofErr w:type="spellEnd"/>
      <w:r>
        <w:t xml:space="preserve"> son:</w:t>
      </w:r>
    </w:p>
    <w:p w14:paraId="52D6A193" w14:textId="77777777" w:rsidR="00224985" w:rsidRDefault="00224985" w:rsidP="007C2E7B">
      <w:pPr>
        <w:pStyle w:val="Prrafodelista"/>
        <w:numPr>
          <w:ilvl w:val="0"/>
          <w:numId w:val="3"/>
        </w:numPr>
        <w:spacing w:line="360" w:lineRule="auto"/>
        <w:jc w:val="both"/>
      </w:pPr>
      <w:r>
        <w:t>Longitud de la raíz (centímetros), suma todas de todas las raíces que componen una raíz.</w:t>
      </w:r>
    </w:p>
    <w:p w14:paraId="0F017912" w14:textId="77777777" w:rsidR="00224985" w:rsidRDefault="00224985" w:rsidP="007C2E7B">
      <w:pPr>
        <w:pStyle w:val="Prrafodelista"/>
        <w:numPr>
          <w:ilvl w:val="0"/>
          <w:numId w:val="3"/>
        </w:numPr>
        <w:spacing w:line="360" w:lineRule="auto"/>
        <w:jc w:val="both"/>
      </w:pPr>
      <w:r>
        <w:t>Área proyectada (centímetros cuadrados), es la multiplicación del diámetro de la raíz *Longitud.</w:t>
      </w:r>
    </w:p>
    <w:p w14:paraId="468E53E6" w14:textId="77777777" w:rsidR="00224985" w:rsidRDefault="00224985" w:rsidP="007C2E7B">
      <w:pPr>
        <w:pStyle w:val="Prrafodelista"/>
        <w:numPr>
          <w:ilvl w:val="0"/>
          <w:numId w:val="3"/>
        </w:numPr>
        <w:spacing w:line="360" w:lineRule="auto"/>
        <w:jc w:val="both"/>
      </w:pPr>
      <w:r>
        <w:t>Surface área (centímetros cuadrados), es el área que representa perpendicularmente.</w:t>
      </w:r>
    </w:p>
    <w:p w14:paraId="5D356669" w14:textId="77777777" w:rsidR="00224985" w:rsidRDefault="00224985" w:rsidP="007C2E7B">
      <w:pPr>
        <w:pStyle w:val="Prrafodelista"/>
        <w:numPr>
          <w:ilvl w:val="0"/>
          <w:numId w:val="3"/>
        </w:numPr>
        <w:spacing w:line="360" w:lineRule="auto"/>
        <w:jc w:val="both"/>
      </w:pPr>
      <w:proofErr w:type="spellStart"/>
      <w:r>
        <w:lastRenderedPageBreak/>
        <w:t>Average</w:t>
      </w:r>
      <w:proofErr w:type="spellEnd"/>
      <w:r>
        <w:t xml:space="preserve"> </w:t>
      </w:r>
      <w:proofErr w:type="spellStart"/>
      <w:r>
        <w:t>diameter</w:t>
      </w:r>
      <w:proofErr w:type="spellEnd"/>
      <w:r>
        <w:t xml:space="preserve"> (milímetros), es la media de todos los diámetros que componen una raíz.</w:t>
      </w:r>
    </w:p>
    <w:p w14:paraId="64A6AB66" w14:textId="77777777" w:rsidR="00224985" w:rsidRDefault="00224985" w:rsidP="007C2E7B">
      <w:pPr>
        <w:pStyle w:val="Prrafodelista"/>
        <w:numPr>
          <w:ilvl w:val="0"/>
          <w:numId w:val="3"/>
        </w:numPr>
        <w:spacing w:line="360" w:lineRule="auto"/>
        <w:jc w:val="both"/>
      </w:pPr>
      <w:proofErr w:type="spellStart"/>
      <w:r>
        <w:t>Root</w:t>
      </w:r>
      <w:proofErr w:type="spellEnd"/>
      <w:r>
        <w:t xml:space="preserve"> volumen (cm3).</w:t>
      </w:r>
    </w:p>
    <w:p w14:paraId="690A5F6A" w14:textId="77777777" w:rsidR="00224985" w:rsidRDefault="00224985" w:rsidP="007C2E7B">
      <w:pPr>
        <w:pStyle w:val="Prrafodelista"/>
        <w:numPr>
          <w:ilvl w:val="0"/>
          <w:numId w:val="3"/>
        </w:numPr>
        <w:spacing w:line="360" w:lineRule="auto"/>
        <w:jc w:val="both"/>
      </w:pPr>
      <w:proofErr w:type="spellStart"/>
      <w:r>
        <w:t>Tips</w:t>
      </w:r>
      <w:proofErr w:type="spellEnd"/>
      <w:r>
        <w:t>: número de terminaciones de raíces.</w:t>
      </w:r>
    </w:p>
    <w:p w14:paraId="4DFB4CE9" w14:textId="77777777" w:rsidR="00224985" w:rsidRDefault="00224985" w:rsidP="007C2E7B">
      <w:pPr>
        <w:pStyle w:val="Prrafodelista"/>
        <w:numPr>
          <w:ilvl w:val="0"/>
          <w:numId w:val="3"/>
        </w:numPr>
        <w:spacing w:line="360" w:lineRule="auto"/>
        <w:jc w:val="both"/>
      </w:pPr>
      <w:r>
        <w:t>Forks: número de bifurcaciones de raíces.</w:t>
      </w:r>
    </w:p>
    <w:p w14:paraId="3CC25399" w14:textId="77777777" w:rsidR="00224985" w:rsidRDefault="00224985" w:rsidP="007C2E7B">
      <w:pPr>
        <w:pStyle w:val="Prrafodelista"/>
        <w:numPr>
          <w:ilvl w:val="0"/>
          <w:numId w:val="3"/>
        </w:numPr>
        <w:spacing w:line="360" w:lineRule="auto"/>
        <w:jc w:val="both"/>
      </w:pPr>
      <w:proofErr w:type="spellStart"/>
      <w:r>
        <w:t>Crossings</w:t>
      </w:r>
      <w:proofErr w:type="spellEnd"/>
      <w:r>
        <w:t>: entrecruzamientos entre raíces.</w:t>
      </w:r>
    </w:p>
    <w:p w14:paraId="060DDCF7" w14:textId="4EFC8E67" w:rsidR="00224985" w:rsidRDefault="00224985" w:rsidP="007C2E7B">
      <w:pPr>
        <w:spacing w:line="360" w:lineRule="auto"/>
        <w:jc w:val="both"/>
      </w:pPr>
      <w:r>
        <w:t>La siguiente figura muestra ejemplos de imágenes en escala de grises para su posterio</w:t>
      </w:r>
      <w:r w:rsidR="00C171BC">
        <w:t>r análisis morfológico (Figura 5). La Figura 6</w:t>
      </w:r>
      <w:r>
        <w:t xml:space="preserve"> es un ejemplo de raíz escaneada en escala de grises y su posterior análisis morfológico. </w:t>
      </w:r>
    </w:p>
    <w:p w14:paraId="5CE2B50A" w14:textId="77777777" w:rsidR="00224985" w:rsidRDefault="00224985" w:rsidP="007C2E7B">
      <w:pPr>
        <w:spacing w:line="360" w:lineRule="auto"/>
        <w:jc w:val="both"/>
      </w:pPr>
      <w:r>
        <w:rPr>
          <w:i/>
          <w:iCs/>
          <w:noProof/>
          <w:lang w:eastAsia="es-ES"/>
        </w:rPr>
        <w:drawing>
          <wp:inline distT="0" distB="0" distL="0" distR="0" wp14:anchorId="54CDA1A6" wp14:editId="6FBF4C59">
            <wp:extent cx="5195570" cy="2343934"/>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4694" cy="2348050"/>
                    </a:xfrm>
                    <a:prstGeom prst="rect">
                      <a:avLst/>
                    </a:prstGeom>
                    <a:noFill/>
                  </pic:spPr>
                </pic:pic>
              </a:graphicData>
            </a:graphic>
          </wp:inline>
        </w:drawing>
      </w:r>
    </w:p>
    <w:p w14:paraId="00481B27" w14:textId="1DEB01CE" w:rsidR="00224985" w:rsidRPr="00C171BC" w:rsidRDefault="00C171BC" w:rsidP="007C2E7B">
      <w:pPr>
        <w:spacing w:line="360" w:lineRule="auto"/>
        <w:jc w:val="center"/>
        <w:rPr>
          <w:i/>
          <w:iCs/>
          <w:sz w:val="20"/>
          <w:szCs w:val="20"/>
        </w:rPr>
      </w:pPr>
      <w:r w:rsidRPr="00C171BC">
        <w:rPr>
          <w:i/>
          <w:iCs/>
          <w:sz w:val="20"/>
          <w:szCs w:val="20"/>
        </w:rPr>
        <w:t>Figura 5</w:t>
      </w:r>
      <w:r w:rsidR="00224985" w:rsidRPr="00C171BC">
        <w:rPr>
          <w:i/>
          <w:iCs/>
          <w:sz w:val="20"/>
          <w:szCs w:val="20"/>
        </w:rPr>
        <w:t>: ejemplos de raíces escaneadas con escala de grises.</w:t>
      </w:r>
    </w:p>
    <w:p w14:paraId="6272B075" w14:textId="19D355BC" w:rsidR="00C171BC" w:rsidRDefault="00C171BC" w:rsidP="007C2E7B">
      <w:pPr>
        <w:spacing w:line="360" w:lineRule="auto"/>
        <w:jc w:val="center"/>
        <w:rPr>
          <w:i/>
          <w:iCs/>
          <w:noProof/>
          <w:lang w:eastAsia="es-ES"/>
        </w:rPr>
      </w:pPr>
      <w:r>
        <w:rPr>
          <w:i/>
          <w:iCs/>
          <w:noProof/>
          <w:lang w:eastAsia="es-ES"/>
        </w:rPr>
        <w:drawing>
          <wp:inline distT="0" distB="0" distL="0" distR="0" wp14:anchorId="0048BCC8" wp14:editId="6336B092">
            <wp:extent cx="4587240" cy="2720413"/>
            <wp:effectExtent l="0" t="0" r="381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4897" cy="2730884"/>
                    </a:xfrm>
                    <a:prstGeom prst="rect">
                      <a:avLst/>
                    </a:prstGeom>
                    <a:noFill/>
                  </pic:spPr>
                </pic:pic>
              </a:graphicData>
            </a:graphic>
          </wp:inline>
        </w:drawing>
      </w:r>
    </w:p>
    <w:p w14:paraId="3FA60BE6" w14:textId="77777777" w:rsidR="00C171BC" w:rsidRDefault="00C171BC" w:rsidP="007C2E7B">
      <w:pPr>
        <w:spacing w:line="360" w:lineRule="auto"/>
        <w:jc w:val="center"/>
        <w:rPr>
          <w:i/>
          <w:iCs/>
          <w:noProof/>
          <w:lang w:eastAsia="es-ES"/>
        </w:rPr>
      </w:pPr>
    </w:p>
    <w:p w14:paraId="69464476" w14:textId="60303AB3" w:rsidR="00224985" w:rsidRPr="00C171BC" w:rsidRDefault="00224985" w:rsidP="007C2E7B">
      <w:pPr>
        <w:spacing w:line="360" w:lineRule="auto"/>
        <w:jc w:val="center"/>
        <w:rPr>
          <w:i/>
          <w:iCs/>
          <w:sz w:val="20"/>
          <w:szCs w:val="20"/>
        </w:rPr>
      </w:pPr>
      <w:r w:rsidRPr="00224985">
        <w:rPr>
          <w:i/>
          <w:iCs/>
        </w:rPr>
        <w:t xml:space="preserve"> </w:t>
      </w:r>
      <w:r w:rsidR="00C171BC" w:rsidRPr="00C171BC">
        <w:rPr>
          <w:i/>
          <w:iCs/>
          <w:sz w:val="20"/>
          <w:szCs w:val="20"/>
        </w:rPr>
        <w:t>Figura 6</w:t>
      </w:r>
      <w:r w:rsidRPr="00C171BC">
        <w:rPr>
          <w:i/>
          <w:iCs/>
          <w:sz w:val="20"/>
          <w:szCs w:val="20"/>
        </w:rPr>
        <w:t>: Análisis de estructura</w:t>
      </w:r>
      <w:r w:rsidR="00C171BC">
        <w:rPr>
          <w:i/>
          <w:iCs/>
          <w:sz w:val="20"/>
          <w:szCs w:val="20"/>
        </w:rPr>
        <w:t xml:space="preserve"> de raíz a los 30 días.</w:t>
      </w:r>
    </w:p>
    <w:p w14:paraId="47AE282D" w14:textId="77777777" w:rsidR="00224985" w:rsidRDefault="00224985" w:rsidP="007C2E7B">
      <w:pPr>
        <w:spacing w:line="360" w:lineRule="auto"/>
        <w:jc w:val="both"/>
        <w:rPr>
          <w:i/>
          <w:iCs/>
        </w:rPr>
      </w:pPr>
      <w:r>
        <w:rPr>
          <w:i/>
          <w:iCs/>
        </w:rPr>
        <w:lastRenderedPageBreak/>
        <w:t>Daños en raíz</w:t>
      </w:r>
    </w:p>
    <w:p w14:paraId="7F4813F8" w14:textId="6A609770" w:rsidR="00224985" w:rsidRDefault="00224985" w:rsidP="007C2E7B">
      <w:pPr>
        <w:spacing w:line="360" w:lineRule="auto"/>
        <w:jc w:val="both"/>
      </w:pPr>
      <w:r>
        <w:t xml:space="preserve">La acción de los patógenos sobre la raíz puede provocar podredumbres en la misma que conllevan a un cambio de coloración de la misma, además de un cambio evidente en la estructura y morfología del sistema radicular. En estos casos es conveniente realizar un análisis de color. Para ello se escanearán todas las raíces del mismo modo que si fuera para un análisis de estructura radicular con la diferencia de que está vez se realizará en color. Posteriormente para el análisis de daños tendremos que crear un fichero en el programa en el que indiquemos para cada una de las imágenes que colores están asociados para una raíz dañada, para una raíz sana y para el fondo o </w:t>
      </w:r>
      <w:proofErr w:type="spellStart"/>
      <w:r>
        <w:t>b</w:t>
      </w:r>
      <w:r w:rsidR="00C171BC">
        <w:t>ackground</w:t>
      </w:r>
      <w:proofErr w:type="spellEnd"/>
      <w:r w:rsidR="00C171BC">
        <w:t xml:space="preserve"> de la imagen (Figura 7</w:t>
      </w:r>
      <w:r>
        <w:t>).</w:t>
      </w:r>
    </w:p>
    <w:p w14:paraId="0B331831" w14:textId="77777777" w:rsidR="00224985" w:rsidRDefault="00224985" w:rsidP="007C2E7B">
      <w:pPr>
        <w:spacing w:line="360" w:lineRule="auto"/>
        <w:ind w:left="708" w:hanging="708"/>
      </w:pPr>
      <w:r w:rsidRPr="00616B26">
        <w:rPr>
          <w:noProof/>
          <w:lang w:eastAsia="es-ES"/>
        </w:rPr>
        <w:drawing>
          <wp:inline distT="0" distB="0" distL="0" distR="0" wp14:anchorId="2A5F74FC" wp14:editId="2B17BE17">
            <wp:extent cx="5400040" cy="3409950"/>
            <wp:effectExtent l="0" t="0" r="0" b="0"/>
            <wp:docPr id="9" name="Imagen 3">
              <a:extLst xmlns:a="http://schemas.openxmlformats.org/drawingml/2006/main">
                <a:ext uri="{FF2B5EF4-FFF2-40B4-BE49-F238E27FC236}">
                  <a16:creationId xmlns:a16="http://schemas.microsoft.com/office/drawing/2014/main" id="{B1D8B5DB-1E6F-4B6F-8C4F-A15CCB5A3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1D8B5DB-1E6F-4B6F-8C4F-A15CCB5A3780}"/>
                        </a:ext>
                      </a:extLst>
                    </pic:cNvPr>
                    <pic:cNvPicPr>
                      <a:picLocks noChangeAspect="1"/>
                    </pic:cNvPicPr>
                  </pic:nvPicPr>
                  <pic:blipFill rotWithShape="1">
                    <a:blip r:embed="rId14"/>
                    <a:srcRect r="37155" b="5921"/>
                    <a:stretch/>
                  </pic:blipFill>
                  <pic:spPr bwMode="auto">
                    <a:xfrm>
                      <a:off x="0" y="0"/>
                      <a:ext cx="5400040" cy="3409950"/>
                    </a:xfrm>
                    <a:prstGeom prst="rect">
                      <a:avLst/>
                    </a:prstGeom>
                    <a:ln>
                      <a:noFill/>
                    </a:ln>
                    <a:extLst>
                      <a:ext uri="{53640926-AAD7-44D8-BBD7-CCE9431645EC}">
                        <a14:shadowObscured xmlns:a14="http://schemas.microsoft.com/office/drawing/2010/main"/>
                      </a:ext>
                    </a:extLst>
                  </pic:spPr>
                </pic:pic>
              </a:graphicData>
            </a:graphic>
          </wp:inline>
        </w:drawing>
      </w:r>
    </w:p>
    <w:p w14:paraId="4233D675" w14:textId="521AB0AD" w:rsidR="00224985" w:rsidRPr="00C171BC" w:rsidRDefault="00C171BC" w:rsidP="007C2E7B">
      <w:pPr>
        <w:spacing w:line="360" w:lineRule="auto"/>
        <w:jc w:val="center"/>
        <w:rPr>
          <w:i/>
          <w:iCs/>
          <w:sz w:val="20"/>
          <w:szCs w:val="20"/>
        </w:rPr>
      </w:pPr>
      <w:r w:rsidRPr="00C171BC">
        <w:rPr>
          <w:i/>
          <w:iCs/>
          <w:sz w:val="20"/>
          <w:szCs w:val="20"/>
        </w:rPr>
        <w:t>Figura 7</w:t>
      </w:r>
      <w:r w:rsidR="00224985" w:rsidRPr="00C171BC">
        <w:rPr>
          <w:i/>
          <w:iCs/>
          <w:sz w:val="20"/>
          <w:szCs w:val="20"/>
        </w:rPr>
        <w:t>: Selección de los diferentes colores asociados al fondo de la imagen, raíz sana y raíz dañada.</w:t>
      </w:r>
    </w:p>
    <w:p w14:paraId="59B72B5B" w14:textId="64F8C380" w:rsidR="00224985" w:rsidRDefault="00224985" w:rsidP="007C2E7B">
      <w:pPr>
        <w:spacing w:line="360" w:lineRule="auto"/>
        <w:jc w:val="both"/>
        <w:rPr>
          <w:noProof/>
          <w:lang w:eastAsia="es-ES"/>
        </w:rPr>
      </w:pPr>
      <w:r>
        <w:t>El análisis nos analizará los mismos parámetros que en el análisis en blanco y negro con la diferencia que para cada uno de estos parámetros nos indicará el porcentaje</w:t>
      </w:r>
      <w:r w:rsidR="00C171BC">
        <w:t xml:space="preserve"> de raíz dañada o sana (Figura 8</w:t>
      </w:r>
      <w:r>
        <w:t>).</w:t>
      </w:r>
      <w:r w:rsidRPr="003047E3">
        <w:rPr>
          <w:noProof/>
          <w:lang w:eastAsia="es-ES"/>
        </w:rPr>
        <w:t xml:space="preserve"> </w:t>
      </w:r>
    </w:p>
    <w:p w14:paraId="63072EA1" w14:textId="77777777" w:rsidR="00224985" w:rsidRDefault="00224985" w:rsidP="007C2E7B">
      <w:pPr>
        <w:spacing w:line="360" w:lineRule="auto"/>
        <w:jc w:val="center"/>
        <w:rPr>
          <w:i/>
          <w:iCs/>
        </w:rPr>
      </w:pPr>
      <w:r w:rsidRPr="003047E3">
        <w:rPr>
          <w:noProof/>
          <w:lang w:eastAsia="es-ES"/>
        </w:rPr>
        <w:lastRenderedPageBreak/>
        <w:drawing>
          <wp:inline distT="0" distB="0" distL="0" distR="0" wp14:anchorId="48E44A54" wp14:editId="75F88544">
            <wp:extent cx="3524250" cy="2695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52" t="14722" r="11655" b="6656"/>
                    <a:stretch/>
                  </pic:blipFill>
                  <pic:spPr bwMode="auto">
                    <a:xfrm>
                      <a:off x="0" y="0"/>
                      <a:ext cx="3525232" cy="2696326"/>
                    </a:xfrm>
                    <a:prstGeom prst="rect">
                      <a:avLst/>
                    </a:prstGeom>
                    <a:ln>
                      <a:noFill/>
                    </a:ln>
                    <a:extLst>
                      <a:ext uri="{53640926-AAD7-44D8-BBD7-CCE9431645EC}">
                        <a14:shadowObscured xmlns:a14="http://schemas.microsoft.com/office/drawing/2010/main"/>
                      </a:ext>
                    </a:extLst>
                  </pic:spPr>
                </pic:pic>
              </a:graphicData>
            </a:graphic>
          </wp:inline>
        </w:drawing>
      </w:r>
      <w:r w:rsidRPr="00224985">
        <w:rPr>
          <w:i/>
          <w:iCs/>
        </w:rPr>
        <w:t xml:space="preserve"> </w:t>
      </w:r>
    </w:p>
    <w:p w14:paraId="2594B7E6" w14:textId="0D256C0C" w:rsidR="00224985" w:rsidRPr="00C171BC" w:rsidRDefault="00224985" w:rsidP="007C2E7B">
      <w:pPr>
        <w:spacing w:line="360" w:lineRule="auto"/>
        <w:jc w:val="center"/>
        <w:rPr>
          <w:i/>
          <w:iCs/>
          <w:sz w:val="20"/>
          <w:szCs w:val="20"/>
        </w:rPr>
      </w:pPr>
      <w:r w:rsidRPr="00C171BC">
        <w:rPr>
          <w:i/>
          <w:iCs/>
          <w:sz w:val="20"/>
          <w:szCs w:val="20"/>
        </w:rPr>
        <w:t xml:space="preserve">Figura </w:t>
      </w:r>
      <w:r w:rsidR="00C171BC" w:rsidRPr="00C171BC">
        <w:rPr>
          <w:i/>
          <w:iCs/>
          <w:sz w:val="20"/>
          <w:szCs w:val="20"/>
        </w:rPr>
        <w:t>8</w:t>
      </w:r>
      <w:r w:rsidRPr="00C171BC">
        <w:rPr>
          <w:i/>
          <w:iCs/>
          <w:sz w:val="20"/>
          <w:szCs w:val="20"/>
        </w:rPr>
        <w:t>: Análisis de daños de raíz. La imagen muestra zonas pardeadas que indican donde se localiza el daño.</w:t>
      </w:r>
    </w:p>
    <w:p w14:paraId="555FAB20" w14:textId="628A5C72" w:rsidR="00224985" w:rsidRDefault="00224985" w:rsidP="007C2E7B">
      <w:pPr>
        <w:spacing w:line="360" w:lineRule="auto"/>
        <w:jc w:val="both"/>
        <w:rPr>
          <w:noProof/>
          <w:lang w:eastAsia="es-ES"/>
        </w:rPr>
      </w:pPr>
      <w:r>
        <w:rPr>
          <w:noProof/>
          <w:lang w:eastAsia="es-ES"/>
        </w:rPr>
        <w:t>Del mismo modo que en el analisis de morfología y estructura en blanco y negro, con las imágenes en color también se puede realiz</w:t>
      </w:r>
      <w:r w:rsidR="00C171BC">
        <w:rPr>
          <w:noProof/>
          <w:lang w:eastAsia="es-ES"/>
        </w:rPr>
        <w:t>ar este mismo análisis (Figura 9</w:t>
      </w:r>
      <w:r>
        <w:rPr>
          <w:noProof/>
          <w:lang w:eastAsia="es-ES"/>
        </w:rPr>
        <w:t>).</w:t>
      </w:r>
    </w:p>
    <w:p w14:paraId="5234C9C8" w14:textId="77777777" w:rsidR="00224985" w:rsidRDefault="00224985" w:rsidP="007C2E7B">
      <w:pPr>
        <w:spacing w:line="360" w:lineRule="auto"/>
        <w:ind w:left="708" w:hanging="708"/>
      </w:pPr>
      <w:r>
        <w:rPr>
          <w:noProof/>
          <w:lang w:eastAsia="es-ES"/>
        </w:rPr>
        <w:drawing>
          <wp:inline distT="0" distB="0" distL="0" distR="0" wp14:anchorId="3434919D" wp14:editId="5FC30149">
            <wp:extent cx="4614545" cy="172685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9080" cy="1736035"/>
                    </a:xfrm>
                    <a:prstGeom prst="rect">
                      <a:avLst/>
                    </a:prstGeom>
                    <a:noFill/>
                  </pic:spPr>
                </pic:pic>
              </a:graphicData>
            </a:graphic>
          </wp:inline>
        </w:drawing>
      </w:r>
    </w:p>
    <w:p w14:paraId="4E2DF1B8" w14:textId="739D08EB" w:rsidR="00224985" w:rsidRPr="00C171BC" w:rsidRDefault="00224985" w:rsidP="007C2E7B">
      <w:pPr>
        <w:spacing w:line="360" w:lineRule="auto"/>
        <w:jc w:val="center"/>
        <w:rPr>
          <w:i/>
          <w:iCs/>
          <w:sz w:val="20"/>
          <w:szCs w:val="20"/>
        </w:rPr>
      </w:pPr>
      <w:r w:rsidRPr="003047E3">
        <w:rPr>
          <w:noProof/>
          <w:lang w:eastAsia="es-ES"/>
        </w:rPr>
        <w:lastRenderedPageBreak/>
        <w:drawing>
          <wp:inline distT="0" distB="0" distL="0" distR="0" wp14:anchorId="571531C6" wp14:editId="6323541E">
            <wp:extent cx="5400040" cy="30372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037205"/>
                    </a:xfrm>
                    <a:prstGeom prst="rect">
                      <a:avLst/>
                    </a:prstGeom>
                  </pic:spPr>
                </pic:pic>
              </a:graphicData>
            </a:graphic>
          </wp:inline>
        </w:drawing>
      </w:r>
      <w:r w:rsidRPr="00224985">
        <w:rPr>
          <w:i/>
          <w:iCs/>
        </w:rPr>
        <w:t xml:space="preserve"> </w:t>
      </w:r>
      <w:r w:rsidRPr="00C171BC">
        <w:rPr>
          <w:i/>
          <w:iCs/>
          <w:sz w:val="20"/>
          <w:szCs w:val="20"/>
        </w:rPr>
        <w:t xml:space="preserve">Figura </w:t>
      </w:r>
      <w:r w:rsidR="00C171BC" w:rsidRPr="00C171BC">
        <w:rPr>
          <w:i/>
          <w:iCs/>
          <w:sz w:val="20"/>
          <w:szCs w:val="20"/>
        </w:rPr>
        <w:t>9</w:t>
      </w:r>
      <w:r w:rsidRPr="00C171BC">
        <w:rPr>
          <w:i/>
          <w:iCs/>
          <w:sz w:val="20"/>
          <w:szCs w:val="20"/>
        </w:rPr>
        <w:t>: Ejemplo de análisis de morfología y estructura radicular.</w:t>
      </w:r>
    </w:p>
    <w:p w14:paraId="539F078B" w14:textId="77777777" w:rsidR="00224985" w:rsidRDefault="00224985" w:rsidP="007C2E7B">
      <w:pPr>
        <w:spacing w:line="360" w:lineRule="auto"/>
        <w:ind w:left="708" w:hanging="708"/>
      </w:pPr>
    </w:p>
    <w:sectPr w:rsidR="0022498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F620D"/>
    <w:multiLevelType w:val="hybridMultilevel"/>
    <w:tmpl w:val="23B8AE84"/>
    <w:lvl w:ilvl="0" w:tplc="8D846FE6">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6C931D9"/>
    <w:multiLevelType w:val="hybridMultilevel"/>
    <w:tmpl w:val="2C0418F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0834183"/>
    <w:multiLevelType w:val="hybridMultilevel"/>
    <w:tmpl w:val="08400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71566049">
    <w:abstractNumId w:val="1"/>
  </w:num>
  <w:num w:numId="2" w16cid:durableId="547953812">
    <w:abstractNumId w:val="0"/>
  </w:num>
  <w:num w:numId="3" w16cid:durableId="10540463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775"/>
    <w:rsid w:val="00092ED6"/>
    <w:rsid w:val="001743DB"/>
    <w:rsid w:val="00224985"/>
    <w:rsid w:val="005279C1"/>
    <w:rsid w:val="007C2E7B"/>
    <w:rsid w:val="007D7775"/>
    <w:rsid w:val="00A27F21"/>
    <w:rsid w:val="00A97E0B"/>
    <w:rsid w:val="00AC71FE"/>
    <w:rsid w:val="00C171BC"/>
    <w:rsid w:val="00D071EB"/>
    <w:rsid w:val="00E337F2"/>
    <w:rsid w:val="00F37664"/>
    <w:rsid w:val="00FC4F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A6C96"/>
  <w15:chartTrackingRefBased/>
  <w15:docId w15:val="{6057F66E-59FE-4035-8E8A-EE7B640E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7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00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5339F6AA6553045834E4AA616AE1C8B" ma:contentTypeVersion="17" ma:contentTypeDescription="Crear nuevo documento." ma:contentTypeScope="" ma:versionID="9f99ec338389f546bcb044ff299509a9">
  <xsd:schema xmlns:xsd="http://www.w3.org/2001/XMLSchema" xmlns:xs="http://www.w3.org/2001/XMLSchema" xmlns:p="http://schemas.microsoft.com/office/2006/metadata/properties" xmlns:ns3="8cabce64-81b7-41d5-b6cc-2f9f13d83510" xmlns:ns4="0a903a69-9eb2-4801-a07d-1ad682afabba" targetNamespace="http://schemas.microsoft.com/office/2006/metadata/properties" ma:root="true" ma:fieldsID="e312b201bd48c3fa1447d19398fff141" ns3:_="" ns4:_="">
    <xsd:import namespace="8cabce64-81b7-41d5-b6cc-2f9f13d83510"/>
    <xsd:import namespace="0a903a69-9eb2-4801-a07d-1ad682afab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bce64-81b7-41d5-b6cc-2f9f13d83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903a69-9eb2-4801-a07d-1ad682afabba"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F284F7-BB2B-4D6E-BBFE-742DEC25FA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1772AD-F581-4CD2-BB57-0DC913CF5F36}">
  <ds:schemaRefs>
    <ds:schemaRef ds:uri="http://schemas.microsoft.com/sharepoint/v3/contenttype/forms"/>
  </ds:schemaRefs>
</ds:datastoreItem>
</file>

<file path=customXml/itemProps3.xml><?xml version="1.0" encoding="utf-8"?>
<ds:datastoreItem xmlns:ds="http://schemas.openxmlformats.org/officeDocument/2006/customXml" ds:itemID="{6FD3A633-B2B9-4429-9778-23A734B98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bce64-81b7-41d5-b6cc-2f9f13d83510"/>
    <ds:schemaRef ds:uri="0a903a69-9eb2-4801-a07d-1ad682afa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684</Words>
  <Characters>3879</Characters>
  <Application>Microsoft Office Word</Application>
  <DocSecurity>0</DocSecurity>
  <Lines>104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Gorka Perpina Martin</dc:creator>
  <cp:keywords/>
  <dc:description/>
  <cp:lastModifiedBy>Maria Belén Picó Sirvent</cp:lastModifiedBy>
  <cp:revision>2</cp:revision>
  <dcterms:created xsi:type="dcterms:W3CDTF">2023-11-21T07:49:00Z</dcterms:created>
  <dcterms:modified xsi:type="dcterms:W3CDTF">2023-11-21T07:49:00Z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0x01010025339F6AA6553045834E4AA616AE1C8B</vt:lpwstr>
  </property>
</Properties>
</file>